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7C5ABC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7C5ABC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7C5ABC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173AB7E" w:rsidR="00EF7A3E" w:rsidRPr="00E037A1" w:rsidRDefault="00552030" w:rsidP="007C5ABC">
            <w:pPr>
              <w:pStyle w:val="TabtextM"/>
              <w:spacing w:after="0"/>
              <w:rPr>
                <w:rFonts w:cs="Segoe UI"/>
                <w:color w:val="000000"/>
                <w:sz w:val="20"/>
              </w:rPr>
            </w:pPr>
            <w:r w:rsidRPr="00E037A1">
              <w:rPr>
                <w:rFonts w:cs="Segoe UI"/>
                <w:color w:val="000000"/>
                <w:sz w:val="20"/>
              </w:rPr>
              <w:t>2.4 Rozvoj čisté mobility</w:t>
            </w:r>
          </w:p>
        </w:tc>
      </w:tr>
      <w:tr w:rsidR="00EF7A3E" w:rsidRPr="00071B6A" w14:paraId="0CC202D0" w14:textId="77777777" w:rsidTr="009824C9">
        <w:tc>
          <w:tcPr>
            <w:tcW w:w="2830" w:type="dxa"/>
          </w:tcPr>
          <w:p w14:paraId="6D1105A8" w14:textId="76F219E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58EB12CC" w:rsidR="00EF7A3E" w:rsidRPr="00E037A1" w:rsidRDefault="00552030" w:rsidP="007C5ABC">
            <w:pPr>
              <w:pStyle w:val="TabtextM"/>
              <w:spacing w:after="0"/>
              <w:rPr>
                <w:rFonts w:cs="Segoe UI"/>
                <w:sz w:val="20"/>
              </w:rPr>
            </w:pPr>
            <w:bookmarkStart w:id="0" w:name="_Hlk99101974"/>
            <w:r w:rsidRPr="00E037A1">
              <w:rPr>
                <w:rFonts w:cs="Segoe UI"/>
                <w:color w:val="000000"/>
                <w:sz w:val="20"/>
              </w:rPr>
              <w:t>2.4.2.2</w:t>
            </w:r>
            <w:bookmarkEnd w:id="0"/>
            <w:r w:rsidRPr="00E037A1">
              <w:rPr>
                <w:rFonts w:cs="Segoe UI"/>
                <w:color w:val="000000"/>
                <w:sz w:val="20"/>
              </w:rPr>
              <w:t xml:space="preserve"> Podpora nákupu vozidel (el. H2) a neveřejné dobíjecí infrastruktury pro obce, kraje, státní správu</w:t>
            </w: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60086D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086D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F35D" w14:textId="77777777" w:rsidR="0060086D" w:rsidRDefault="0060086D" w:rsidP="007B1EE9">
      <w:r>
        <w:separator/>
      </w:r>
    </w:p>
    <w:p w14:paraId="235C096F" w14:textId="77777777" w:rsidR="0060086D" w:rsidRDefault="0060086D"/>
  </w:endnote>
  <w:endnote w:type="continuationSeparator" w:id="0">
    <w:p w14:paraId="3E5C04FF" w14:textId="77777777" w:rsidR="0060086D" w:rsidRDefault="0060086D" w:rsidP="007B1EE9">
      <w:r>
        <w:continuationSeparator/>
      </w:r>
    </w:p>
    <w:p w14:paraId="6B387B42" w14:textId="77777777" w:rsidR="0060086D" w:rsidRDefault="0060086D"/>
  </w:endnote>
  <w:endnote w:type="continuationNotice" w:id="1">
    <w:p w14:paraId="7C33C22F" w14:textId="77777777" w:rsidR="0060086D" w:rsidRDefault="0060086D">
      <w:pPr>
        <w:spacing w:after="0" w:line="240" w:lineRule="auto"/>
      </w:pPr>
    </w:p>
    <w:p w14:paraId="68AD78FC" w14:textId="77777777" w:rsidR="0060086D" w:rsidRDefault="00600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2FCC" w14:textId="77777777" w:rsidR="0060086D" w:rsidRDefault="0060086D" w:rsidP="003212B5">
      <w:r>
        <w:separator/>
      </w:r>
    </w:p>
  </w:footnote>
  <w:footnote w:type="continuationSeparator" w:id="0">
    <w:p w14:paraId="7D06FCF6" w14:textId="77777777" w:rsidR="0060086D" w:rsidRDefault="0060086D" w:rsidP="003212B5">
      <w:r>
        <w:continuationSeparator/>
      </w:r>
    </w:p>
  </w:footnote>
  <w:footnote w:type="continuationNotice" w:id="1">
    <w:p w14:paraId="38794484" w14:textId="77777777" w:rsidR="0060086D" w:rsidRDefault="0060086D">
      <w:pPr>
        <w:spacing w:after="0" w:line="240" w:lineRule="auto"/>
      </w:pPr>
    </w:p>
    <w:p w14:paraId="1F464755" w14:textId="77777777" w:rsidR="0060086D" w:rsidRDefault="0060086D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7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7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6D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C5ABC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078C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Večeř Michael Pascal</cp:lastModifiedBy>
  <cp:revision>2</cp:revision>
  <cp:lastPrinted>2022-05-17T12:53:00Z</cp:lastPrinted>
  <dcterms:created xsi:type="dcterms:W3CDTF">2022-06-09T15:39:00Z</dcterms:created>
  <dcterms:modified xsi:type="dcterms:W3CDTF">2022-06-09T15:39:00Z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